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9DDF" w14:textId="4AF1E161" w:rsidR="00F60031" w:rsidRPr="00BA0C7B" w:rsidRDefault="001A0417" w:rsidP="001A0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120" w:after="120"/>
        <w:rPr>
          <w:rFonts w:asciiTheme="minorHAnsi" w:hAnsiTheme="minorHAnsi"/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4BECE5" wp14:editId="7BD3BA37">
            <wp:simplePos x="0" y="0"/>
            <wp:positionH relativeFrom="leftMargin">
              <wp:posOffset>6286500</wp:posOffset>
            </wp:positionH>
            <wp:positionV relativeFrom="paragraph">
              <wp:posOffset>-377190</wp:posOffset>
            </wp:positionV>
            <wp:extent cx="704850" cy="710913"/>
            <wp:effectExtent l="0" t="0" r="0" b="0"/>
            <wp:wrapNone/>
            <wp:docPr id="72710792" name="Image 2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10792" name="Image 2" descr="Une image contenant texte, Police, Graphiqu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D85">
        <w:rPr>
          <w:rFonts w:asciiTheme="minorHAnsi" w:hAnsiTheme="minorHAnsi"/>
          <w:b/>
          <w:sz w:val="28"/>
          <w:szCs w:val="20"/>
        </w:rPr>
        <w:t>AAP Bâtiments performants</w:t>
      </w:r>
      <w:r w:rsidR="007358B6">
        <w:rPr>
          <w:rFonts w:asciiTheme="minorHAnsi" w:hAnsiTheme="minorHAnsi"/>
          <w:b/>
          <w:sz w:val="28"/>
          <w:szCs w:val="20"/>
        </w:rPr>
        <w:t xml:space="preserve"> – </w:t>
      </w:r>
      <w:r w:rsidR="00F60031">
        <w:rPr>
          <w:rFonts w:asciiTheme="minorHAnsi" w:hAnsiTheme="minorHAnsi"/>
          <w:b/>
          <w:sz w:val="28"/>
          <w:szCs w:val="20"/>
        </w:rPr>
        <w:t>Contexte</w:t>
      </w:r>
    </w:p>
    <w:p w14:paraId="7F053A37" w14:textId="35C62DE8" w:rsidR="00BA0C7B" w:rsidRDefault="00BA0C7B" w:rsidP="00BA0C7B">
      <w:pPr>
        <w:shd w:val="clear" w:color="auto" w:fill="auto"/>
        <w:jc w:val="both"/>
        <w:rPr>
          <w:rFonts w:asciiTheme="minorHAnsi" w:hAnsiTheme="minorHAnsi"/>
          <w:sz w:val="20"/>
          <w:szCs w:val="20"/>
        </w:rPr>
      </w:pPr>
    </w:p>
    <w:p w14:paraId="770E3FAE" w14:textId="25924F73" w:rsidR="001C7208" w:rsidRPr="004D26E1" w:rsidRDefault="001C7208" w:rsidP="001C7208">
      <w:pPr>
        <w:shd w:val="clear" w:color="auto" w:fill="auto"/>
        <w:jc w:val="both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 xml:space="preserve">Depuis le Grenelle de l’environnement (2009-2010), la législation sur la performance énergétique et environnementale du patrimoine bâti français s’est étoffée. </w:t>
      </w:r>
      <w:r w:rsidR="00D378EF">
        <w:rPr>
          <w:rFonts w:asciiTheme="minorHAnsi" w:hAnsiTheme="minorHAnsi"/>
          <w:sz w:val="20"/>
          <w:szCs w:val="20"/>
        </w:rPr>
        <w:t>Adoptée en août 2015, l</w:t>
      </w:r>
      <w:r w:rsidRPr="004D26E1">
        <w:rPr>
          <w:rFonts w:asciiTheme="minorHAnsi" w:hAnsiTheme="minorHAnsi"/>
          <w:sz w:val="20"/>
          <w:szCs w:val="20"/>
        </w:rPr>
        <w:t xml:space="preserve">a Loi de transition énergétique pour la croissance </w:t>
      </w:r>
      <w:r w:rsidR="001A0417">
        <w:rPr>
          <w:rFonts w:asciiTheme="minorHAnsi" w:hAnsiTheme="minorHAnsi"/>
          <w:sz w:val="20"/>
          <w:szCs w:val="20"/>
        </w:rPr>
        <w:t xml:space="preserve">verte (LTECV) </w:t>
      </w:r>
      <w:r w:rsidRPr="004D26E1">
        <w:rPr>
          <w:rFonts w:asciiTheme="minorHAnsi" w:hAnsiTheme="minorHAnsi"/>
          <w:sz w:val="20"/>
          <w:szCs w:val="20"/>
        </w:rPr>
        <w:t>assigne un chemin ambitieux :</w:t>
      </w:r>
    </w:p>
    <w:p w14:paraId="78ADFBBB" w14:textId="3F929AA7" w:rsidR="001C7208" w:rsidRPr="004D26E1" w:rsidRDefault="001C7208" w:rsidP="001C7208">
      <w:pPr>
        <w:pStyle w:val="Paragraphedeliste"/>
        <w:numPr>
          <w:ilvl w:val="0"/>
          <w:numId w:val="1"/>
        </w:numPr>
        <w:shd w:val="clear" w:color="auto" w:fill="auto"/>
        <w:spacing w:before="60"/>
        <w:ind w:left="340" w:hanging="170"/>
        <w:jc w:val="both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 xml:space="preserve">Réduire les </w:t>
      </w:r>
      <w:r w:rsidRPr="004D26E1">
        <w:rPr>
          <w:rFonts w:asciiTheme="minorHAnsi" w:hAnsiTheme="minorHAnsi"/>
          <w:b/>
          <w:sz w:val="20"/>
          <w:szCs w:val="20"/>
        </w:rPr>
        <w:t>émissions de gaz à effet de serre</w:t>
      </w:r>
      <w:r w:rsidRPr="004D26E1">
        <w:rPr>
          <w:rFonts w:asciiTheme="minorHAnsi" w:hAnsiTheme="minorHAnsi"/>
          <w:sz w:val="20"/>
          <w:szCs w:val="20"/>
        </w:rPr>
        <w:t xml:space="preserve"> de 40 % entre 1990 et 2030 et diviser par quatre les émissions de gaz à effet de serre entre 1990 et 2050 (facteur 4) ;</w:t>
      </w:r>
    </w:p>
    <w:p w14:paraId="459F2926" w14:textId="52F5E089" w:rsidR="001C7208" w:rsidRPr="004D26E1" w:rsidRDefault="001C7208" w:rsidP="001C7208">
      <w:pPr>
        <w:pStyle w:val="Paragraphedeliste"/>
        <w:numPr>
          <w:ilvl w:val="0"/>
          <w:numId w:val="1"/>
        </w:numPr>
        <w:shd w:val="clear" w:color="auto" w:fill="auto"/>
        <w:spacing w:before="60"/>
        <w:ind w:left="340" w:hanging="170"/>
        <w:jc w:val="both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softHyphen/>
        <w:t xml:space="preserve">Réduire la </w:t>
      </w:r>
      <w:r w:rsidRPr="004D26E1">
        <w:rPr>
          <w:rFonts w:asciiTheme="minorHAnsi" w:hAnsiTheme="minorHAnsi"/>
          <w:b/>
          <w:sz w:val="20"/>
          <w:szCs w:val="20"/>
        </w:rPr>
        <w:t>consommation énergétique finale</w:t>
      </w:r>
      <w:r w:rsidRPr="004D26E1">
        <w:rPr>
          <w:rFonts w:asciiTheme="minorHAnsi" w:hAnsiTheme="minorHAnsi"/>
          <w:sz w:val="20"/>
          <w:szCs w:val="20"/>
        </w:rPr>
        <w:t xml:space="preserve"> de 50 % en 2050 par rapport à la référence 2012 en visant un objectif intermédiaire de 20 % en 2030 ;</w:t>
      </w:r>
    </w:p>
    <w:p w14:paraId="05FA6628" w14:textId="24F2D014" w:rsidR="001C7208" w:rsidRPr="004D26E1" w:rsidRDefault="001C7208" w:rsidP="001C7208">
      <w:pPr>
        <w:pStyle w:val="Paragraphedeliste"/>
        <w:numPr>
          <w:ilvl w:val="0"/>
          <w:numId w:val="1"/>
        </w:numPr>
        <w:shd w:val="clear" w:color="auto" w:fill="auto"/>
        <w:spacing w:before="60"/>
        <w:ind w:left="340" w:hanging="170"/>
        <w:jc w:val="both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>Réduire la consommation énergétique primaire d’</w:t>
      </w:r>
      <w:r w:rsidRPr="004D26E1">
        <w:rPr>
          <w:rFonts w:asciiTheme="minorHAnsi" w:hAnsiTheme="minorHAnsi"/>
          <w:b/>
          <w:sz w:val="20"/>
          <w:szCs w:val="20"/>
        </w:rPr>
        <w:t>énergies fossiles</w:t>
      </w:r>
      <w:r w:rsidRPr="004D26E1">
        <w:rPr>
          <w:rFonts w:asciiTheme="minorHAnsi" w:hAnsiTheme="minorHAnsi"/>
          <w:sz w:val="20"/>
          <w:szCs w:val="20"/>
        </w:rPr>
        <w:t xml:space="preserve"> de 30 % en 2030 par rapport à la référence 2012 ; porter la part des </w:t>
      </w:r>
      <w:r w:rsidRPr="004D26E1">
        <w:rPr>
          <w:rFonts w:asciiTheme="minorHAnsi" w:hAnsiTheme="minorHAnsi"/>
          <w:b/>
          <w:sz w:val="20"/>
          <w:szCs w:val="20"/>
        </w:rPr>
        <w:t>énergies renouvelables</w:t>
      </w:r>
      <w:r w:rsidRPr="004D26E1">
        <w:rPr>
          <w:rFonts w:asciiTheme="minorHAnsi" w:hAnsiTheme="minorHAnsi"/>
          <w:sz w:val="20"/>
          <w:szCs w:val="20"/>
        </w:rPr>
        <w:t xml:space="preserve"> à 23 % de la consommation finale brute d’énergie en 2020 et à 32 % de la consommation finale brute d’énergie en 2030 ; et porter la part du </w:t>
      </w:r>
      <w:r w:rsidRPr="004D26E1">
        <w:rPr>
          <w:rFonts w:asciiTheme="minorHAnsi" w:hAnsiTheme="minorHAnsi"/>
          <w:b/>
          <w:sz w:val="20"/>
          <w:szCs w:val="20"/>
        </w:rPr>
        <w:t>nucléaire</w:t>
      </w:r>
      <w:r w:rsidRPr="004D26E1">
        <w:rPr>
          <w:rFonts w:asciiTheme="minorHAnsi" w:hAnsiTheme="minorHAnsi"/>
          <w:sz w:val="20"/>
          <w:szCs w:val="20"/>
        </w:rPr>
        <w:t xml:space="preserve"> dans la production d’électricité à 50 % à l’horizon 2025 ;</w:t>
      </w:r>
    </w:p>
    <w:p w14:paraId="722DCDB7" w14:textId="76FE8605" w:rsidR="001C7208" w:rsidRPr="004D26E1" w:rsidRDefault="001C7208" w:rsidP="001C7208">
      <w:pPr>
        <w:pStyle w:val="Paragraphedeliste"/>
        <w:keepNext w:val="0"/>
        <w:widowControl/>
        <w:numPr>
          <w:ilvl w:val="0"/>
          <w:numId w:val="1"/>
        </w:numPr>
        <w:shd w:val="clear" w:color="auto" w:fill="auto"/>
        <w:suppressAutoHyphens w:val="0"/>
        <w:spacing w:before="60"/>
        <w:ind w:left="340" w:hanging="170"/>
        <w:textAlignment w:val="auto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 xml:space="preserve">Atteindre un niveau de performance énergétique conforme aux normes « bâtiment basse consommation » pour l’ensemble du </w:t>
      </w:r>
      <w:r w:rsidRPr="004D26E1">
        <w:rPr>
          <w:rFonts w:asciiTheme="minorHAnsi" w:hAnsiTheme="minorHAnsi"/>
          <w:b/>
          <w:sz w:val="20"/>
          <w:szCs w:val="20"/>
        </w:rPr>
        <w:t>parc de logements</w:t>
      </w:r>
      <w:r w:rsidRPr="004D26E1">
        <w:rPr>
          <w:rFonts w:asciiTheme="minorHAnsi" w:hAnsiTheme="minorHAnsi"/>
          <w:sz w:val="20"/>
          <w:szCs w:val="20"/>
        </w:rPr>
        <w:t xml:space="preserve"> à 2050 ;</w:t>
      </w:r>
    </w:p>
    <w:p w14:paraId="6239E6BB" w14:textId="357DC01C" w:rsidR="001C7208" w:rsidRPr="004D26E1" w:rsidRDefault="001C7208" w:rsidP="001C7208">
      <w:pPr>
        <w:pStyle w:val="Paragraphedeliste"/>
        <w:keepNext w:val="0"/>
        <w:widowControl/>
        <w:numPr>
          <w:ilvl w:val="0"/>
          <w:numId w:val="1"/>
        </w:numPr>
        <w:shd w:val="clear" w:color="auto" w:fill="auto"/>
        <w:suppressAutoHyphens w:val="0"/>
        <w:spacing w:before="60"/>
        <w:ind w:left="340" w:hanging="170"/>
        <w:textAlignment w:val="auto"/>
        <w:rPr>
          <w:rFonts w:asciiTheme="minorHAnsi" w:hAnsiTheme="minorHAnsi"/>
          <w:sz w:val="20"/>
          <w:szCs w:val="20"/>
        </w:rPr>
      </w:pPr>
      <w:r w:rsidRPr="004D26E1">
        <w:rPr>
          <w:rFonts w:asciiTheme="minorHAnsi" w:hAnsiTheme="minorHAnsi"/>
          <w:sz w:val="20"/>
          <w:szCs w:val="20"/>
        </w:rPr>
        <w:t xml:space="preserve">Réduire de 50 % la quantité de </w:t>
      </w:r>
      <w:r w:rsidRPr="004D26E1">
        <w:rPr>
          <w:rFonts w:asciiTheme="minorHAnsi" w:hAnsiTheme="minorHAnsi"/>
          <w:b/>
          <w:sz w:val="20"/>
          <w:szCs w:val="20"/>
        </w:rPr>
        <w:t>déchets</w:t>
      </w:r>
      <w:r w:rsidRPr="004D26E1">
        <w:rPr>
          <w:rFonts w:asciiTheme="minorHAnsi" w:hAnsiTheme="minorHAnsi"/>
          <w:sz w:val="20"/>
          <w:szCs w:val="20"/>
        </w:rPr>
        <w:t xml:space="preserve"> mis en décharge à l’horizon 2025 et découpler progressivement la croissance économique et la consommation matières premières.</w:t>
      </w:r>
    </w:p>
    <w:p w14:paraId="62557A82" w14:textId="337C8472" w:rsidR="001C7208" w:rsidRDefault="001C7208" w:rsidP="001C7208">
      <w:pPr>
        <w:keepNext w:val="0"/>
        <w:widowControl/>
        <w:shd w:val="clear" w:color="auto" w:fill="auto"/>
        <w:suppressAutoHyphens w:val="0"/>
        <w:textAlignment w:val="auto"/>
        <w:rPr>
          <w:rFonts w:asciiTheme="minorHAnsi" w:hAnsiTheme="minorHAnsi"/>
          <w:sz w:val="20"/>
          <w:szCs w:val="20"/>
        </w:rPr>
      </w:pPr>
    </w:p>
    <w:p w14:paraId="5855F788" w14:textId="4DF6003B" w:rsidR="00D378EF" w:rsidRPr="004D26E1" w:rsidRDefault="001A0417" w:rsidP="001A0417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 LTECV</w:t>
      </w:r>
      <w:r w:rsidR="00D378EF" w:rsidRPr="004D26E1">
        <w:rPr>
          <w:rFonts w:asciiTheme="minorHAnsi" w:hAnsiTheme="minorHAnsi"/>
          <w:sz w:val="20"/>
          <w:szCs w:val="20"/>
        </w:rPr>
        <w:t xml:space="preserve"> </w:t>
      </w:r>
      <w:r w:rsidR="00D378EF">
        <w:rPr>
          <w:rFonts w:asciiTheme="minorHAnsi" w:hAnsiTheme="minorHAnsi"/>
          <w:sz w:val="20"/>
          <w:szCs w:val="20"/>
        </w:rPr>
        <w:t xml:space="preserve">introduit </w:t>
      </w:r>
      <w:r>
        <w:rPr>
          <w:rFonts w:asciiTheme="minorHAnsi" w:hAnsiTheme="minorHAnsi"/>
          <w:sz w:val="20"/>
          <w:szCs w:val="20"/>
        </w:rPr>
        <w:t xml:space="preserve">par ailleurs </w:t>
      </w:r>
      <w:r w:rsidR="00D378EF">
        <w:rPr>
          <w:rFonts w:asciiTheme="minorHAnsi" w:hAnsiTheme="minorHAnsi"/>
          <w:sz w:val="20"/>
          <w:szCs w:val="20"/>
        </w:rPr>
        <w:t xml:space="preserve">la Stratégie Nationale Bas Carbone (SNBC), </w:t>
      </w:r>
      <w:r w:rsidR="00D378EF" w:rsidRPr="00D378EF">
        <w:rPr>
          <w:rFonts w:asciiTheme="minorHAnsi" w:hAnsiTheme="minorHAnsi"/>
          <w:sz w:val="20"/>
          <w:szCs w:val="20"/>
        </w:rPr>
        <w:t xml:space="preserve">feuille de route de la France pour lutter contre le changement climatique. </w:t>
      </w:r>
      <w:r>
        <w:rPr>
          <w:rFonts w:asciiTheme="minorHAnsi" w:hAnsiTheme="minorHAnsi"/>
          <w:sz w:val="20"/>
          <w:szCs w:val="20"/>
        </w:rPr>
        <w:t>La SNBC</w:t>
      </w:r>
      <w:r w:rsidR="00D378EF" w:rsidRPr="00D378EF">
        <w:rPr>
          <w:rFonts w:asciiTheme="minorHAnsi" w:hAnsiTheme="minorHAnsi"/>
          <w:sz w:val="20"/>
          <w:szCs w:val="20"/>
        </w:rPr>
        <w:t xml:space="preserve"> donne des orientations pour mettre en œuvre, dans tous les secteurs d’activité, la transition vers une économie bas-carbone, circulaire et durable. Elle définit une trajectoire de réduction des émissions de gaz à effet de serre jusqu’à 2050 et fixe des objectifs à court-moyen termes : </w:t>
      </w:r>
      <w:proofErr w:type="gramStart"/>
      <w:r w:rsidR="00D378EF" w:rsidRPr="00D378EF">
        <w:rPr>
          <w:rFonts w:asciiTheme="minorHAnsi" w:hAnsiTheme="minorHAnsi"/>
          <w:sz w:val="20"/>
          <w:szCs w:val="20"/>
        </w:rPr>
        <w:t>les budgets carbone</w:t>
      </w:r>
      <w:proofErr w:type="gramEnd"/>
      <w:r w:rsidR="00D378EF" w:rsidRPr="00D378EF">
        <w:rPr>
          <w:rFonts w:asciiTheme="minorHAnsi" w:hAnsiTheme="minorHAnsi"/>
          <w:sz w:val="20"/>
          <w:szCs w:val="20"/>
        </w:rPr>
        <w:t xml:space="preserve">. Elle a deux ambitions : </w:t>
      </w:r>
      <w:r w:rsidR="00D378EF" w:rsidRPr="001A0417">
        <w:rPr>
          <w:rFonts w:asciiTheme="minorHAnsi" w:hAnsiTheme="minorHAnsi"/>
          <w:b/>
          <w:bCs/>
          <w:sz w:val="20"/>
          <w:szCs w:val="20"/>
        </w:rPr>
        <w:t>atteindre la neutralité carbone à l’horizon 2050</w:t>
      </w:r>
      <w:r w:rsidR="00D378EF" w:rsidRPr="00D378EF">
        <w:rPr>
          <w:rFonts w:asciiTheme="minorHAnsi" w:hAnsiTheme="minorHAnsi"/>
          <w:sz w:val="20"/>
          <w:szCs w:val="20"/>
        </w:rPr>
        <w:t xml:space="preserve"> et </w:t>
      </w:r>
      <w:r w:rsidR="00D378EF" w:rsidRPr="001A0417">
        <w:rPr>
          <w:rFonts w:asciiTheme="minorHAnsi" w:hAnsiTheme="minorHAnsi"/>
          <w:b/>
          <w:bCs/>
          <w:sz w:val="20"/>
          <w:szCs w:val="20"/>
        </w:rPr>
        <w:t>réduire l’empreinte carbone de la consommation</w:t>
      </w:r>
      <w:r w:rsidR="00D378EF" w:rsidRPr="00D378EF">
        <w:rPr>
          <w:rFonts w:asciiTheme="minorHAnsi" w:hAnsiTheme="minorHAnsi"/>
          <w:sz w:val="20"/>
          <w:szCs w:val="20"/>
        </w:rPr>
        <w:t xml:space="preserve"> des Français. Les décideurs publics, à l’échelle nationale comme territoriale, doivent la prendre en compte.</w:t>
      </w:r>
    </w:p>
    <w:p w14:paraId="338C92B3" w14:textId="6EE5416F" w:rsidR="00925384" w:rsidRDefault="00925384" w:rsidP="00EA2419">
      <w:pPr>
        <w:jc w:val="both"/>
        <w:rPr>
          <w:rFonts w:asciiTheme="minorHAnsi" w:eastAsia="Times New Roman" w:hAnsiTheme="minorHAnsi" w:cstheme="minorHAnsi"/>
          <w:iCs/>
          <w:sz w:val="20"/>
        </w:rPr>
      </w:pPr>
    </w:p>
    <w:p w14:paraId="1C6F3CC0" w14:textId="2894C6EE" w:rsidR="00EA2419" w:rsidRPr="00BC26B9" w:rsidRDefault="00925384" w:rsidP="00EA2419">
      <w:pPr>
        <w:jc w:val="both"/>
        <w:rPr>
          <w:rFonts w:asciiTheme="minorHAnsi" w:eastAsia="Times New Roman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iCs/>
          <w:sz w:val="20"/>
        </w:rPr>
        <w:t xml:space="preserve">Pour les </w:t>
      </w:r>
      <w:r w:rsidRPr="00BC26B9">
        <w:rPr>
          <w:rFonts w:asciiTheme="minorHAnsi" w:eastAsia="Times New Roman" w:hAnsiTheme="minorHAnsi" w:cstheme="minorHAnsi"/>
          <w:iCs/>
          <w:sz w:val="20"/>
        </w:rPr>
        <w:t>bâtiments à usage tertiaire</w:t>
      </w:r>
      <w:r>
        <w:rPr>
          <w:rFonts w:asciiTheme="minorHAnsi" w:eastAsia="Times New Roman" w:hAnsiTheme="minorHAnsi" w:cstheme="minorHAnsi"/>
          <w:iCs/>
          <w:sz w:val="20"/>
        </w:rPr>
        <w:t xml:space="preserve">, </w:t>
      </w:r>
      <w:r w:rsidR="00EA2419" w:rsidRPr="00BC26B9">
        <w:rPr>
          <w:rFonts w:asciiTheme="minorHAnsi" w:eastAsia="Times New Roman" w:hAnsiTheme="minorHAnsi" w:cstheme="minorHAnsi"/>
          <w:iCs/>
          <w:sz w:val="20"/>
        </w:rPr>
        <w:t xml:space="preserve">la </w:t>
      </w:r>
      <w:r w:rsidR="00EA2419" w:rsidRPr="00A36087">
        <w:rPr>
          <w:rFonts w:asciiTheme="minorHAnsi" w:eastAsia="Times New Roman" w:hAnsiTheme="minorHAnsi" w:cstheme="minorHAnsi"/>
          <w:b/>
          <w:iCs/>
          <w:sz w:val="20"/>
        </w:rPr>
        <w:t>réglementation Éco Énergie Tertiaire</w:t>
      </w:r>
      <w:r w:rsidR="00EA2419" w:rsidRPr="00BC26B9">
        <w:rPr>
          <w:rFonts w:asciiTheme="minorHAnsi" w:eastAsia="Times New Roman" w:hAnsiTheme="minorHAnsi" w:cstheme="minorHAnsi"/>
          <w:iCs/>
          <w:sz w:val="20"/>
        </w:rPr>
        <w:t xml:space="preserve"> (EET) impose </w:t>
      </w:r>
      <w:r>
        <w:rPr>
          <w:rFonts w:asciiTheme="minorHAnsi" w:eastAsia="Times New Roman" w:hAnsiTheme="minorHAnsi" w:cstheme="minorHAnsi"/>
          <w:iCs/>
          <w:sz w:val="20"/>
        </w:rPr>
        <w:t>spécifiquement</w:t>
      </w:r>
      <w:r w:rsidR="007358B6">
        <w:rPr>
          <w:rFonts w:asciiTheme="minorHAnsi" w:eastAsia="Times New Roman" w:hAnsiTheme="minorHAnsi" w:cstheme="minorHAnsi"/>
          <w:iCs/>
          <w:sz w:val="20"/>
        </w:rPr>
        <w:t xml:space="preserve"> </w:t>
      </w:r>
      <w:r w:rsidR="00EA2419" w:rsidRPr="00BC26B9">
        <w:rPr>
          <w:rFonts w:asciiTheme="minorHAnsi" w:eastAsia="Times New Roman" w:hAnsiTheme="minorHAnsi" w:cstheme="minorHAnsi"/>
          <w:iCs/>
          <w:sz w:val="20"/>
        </w:rPr>
        <w:t>une réduction progressive de la consommation d’énergie dans les afin de lutter contre le changement climatique. Elle s'applique à toutes les constructions existantes et neuves, dont les bâtiments ont une surface d’activité tertiaire (ou un cumul de surfaces) égale ou supérieure à 1 000 m² et fixe un objectif de réduction des consommations d’énergie finale de l’ensemble du parc tertiaire d’au moins -40 % en 2030, -50 % en 2040, -60 % en 2050 (par rapport à 2010).</w:t>
      </w:r>
      <w:r w:rsidR="001A0417">
        <w:rPr>
          <w:rFonts w:asciiTheme="minorHAnsi" w:eastAsia="Times New Roman" w:hAnsiTheme="minorHAnsi" w:cstheme="minorHAnsi"/>
          <w:iCs/>
          <w:sz w:val="20"/>
        </w:rPr>
        <w:t xml:space="preserve"> </w:t>
      </w:r>
      <w:r w:rsidR="00EA2419" w:rsidRPr="00BC26B9">
        <w:rPr>
          <w:rFonts w:asciiTheme="minorHAnsi" w:eastAsia="Times New Roman" w:hAnsiTheme="minorHAnsi" w:cstheme="minorHAnsi"/>
          <w:iCs/>
          <w:sz w:val="20"/>
        </w:rPr>
        <w:t>Pour plus d'information : </w:t>
      </w:r>
      <w:hyperlink r:id="rId8" w:history="1">
        <w:r w:rsidR="00EA2419" w:rsidRPr="00BC26B9">
          <w:rPr>
            <w:rStyle w:val="Lienhypertexte"/>
            <w:rFonts w:asciiTheme="minorHAnsi" w:eastAsia="Times New Roman" w:hAnsiTheme="minorHAnsi" w:cstheme="minorHAnsi"/>
            <w:iCs/>
            <w:sz w:val="20"/>
          </w:rPr>
          <w:t>https://www.ecologie.gouv.fr/eco-energie-tertiaire-eet</w:t>
        </w:r>
      </w:hyperlink>
    </w:p>
    <w:p w14:paraId="727A52EF" w14:textId="682F3EFB" w:rsidR="00EA2419" w:rsidRDefault="00EA2419" w:rsidP="001C7208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Theme="minorHAnsi" w:hAnsiTheme="minorHAnsi"/>
          <w:sz w:val="20"/>
          <w:szCs w:val="20"/>
        </w:rPr>
      </w:pPr>
    </w:p>
    <w:p w14:paraId="6A212CEF" w14:textId="70DFDB00" w:rsidR="00925384" w:rsidRDefault="00D378EF" w:rsidP="001C7208">
      <w:pPr>
        <w:keepNext w:val="0"/>
        <w:widowControl/>
        <w:shd w:val="clear" w:color="auto" w:fill="auto"/>
        <w:suppressAutoHyphens w:val="0"/>
        <w:jc w:val="both"/>
        <w:textAlignment w:val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Pour les bâtiments ne</w:t>
      </w:r>
      <w:r>
        <w:rPr>
          <w:rFonts w:asciiTheme="minorHAnsi" w:hAnsiTheme="minorHAnsi"/>
          <w:sz w:val="20"/>
          <w:szCs w:val="20"/>
        </w:rPr>
        <w:t>ufs, la</w:t>
      </w:r>
      <w:r w:rsidRPr="004D26E1">
        <w:rPr>
          <w:rFonts w:asciiTheme="minorHAnsi" w:hAnsiTheme="minorHAnsi"/>
          <w:sz w:val="20"/>
          <w:szCs w:val="20"/>
        </w:rPr>
        <w:t xml:space="preserve"> Règlementation Thermique 2012 </w:t>
      </w:r>
      <w:r>
        <w:rPr>
          <w:rFonts w:asciiTheme="minorHAnsi" w:hAnsiTheme="minorHAnsi"/>
          <w:sz w:val="20"/>
          <w:szCs w:val="20"/>
        </w:rPr>
        <w:t xml:space="preserve">a </w:t>
      </w:r>
      <w:r w:rsidRPr="004D26E1">
        <w:rPr>
          <w:rFonts w:asciiTheme="minorHAnsi" w:hAnsiTheme="minorHAnsi"/>
          <w:sz w:val="20"/>
          <w:szCs w:val="20"/>
        </w:rPr>
        <w:t>fix</w:t>
      </w:r>
      <w:r>
        <w:rPr>
          <w:rFonts w:asciiTheme="minorHAnsi" w:hAnsiTheme="minorHAnsi"/>
          <w:sz w:val="20"/>
          <w:szCs w:val="20"/>
        </w:rPr>
        <w:t>é</w:t>
      </w:r>
      <w:r w:rsidRPr="004D26E1">
        <w:rPr>
          <w:rFonts w:asciiTheme="minorHAnsi" w:hAnsiTheme="minorHAnsi"/>
          <w:sz w:val="20"/>
          <w:szCs w:val="20"/>
        </w:rPr>
        <w:t xml:space="preserve"> un</w:t>
      </w:r>
      <w:r>
        <w:rPr>
          <w:rFonts w:asciiTheme="minorHAnsi" w:hAnsiTheme="minorHAnsi"/>
          <w:sz w:val="20"/>
          <w:szCs w:val="20"/>
        </w:rPr>
        <w:t xml:space="preserve"> plafond de</w:t>
      </w:r>
      <w:r w:rsidRPr="004D26E1">
        <w:rPr>
          <w:rFonts w:asciiTheme="minorHAnsi" w:hAnsiTheme="minorHAnsi"/>
          <w:sz w:val="20"/>
          <w:szCs w:val="20"/>
        </w:rPr>
        <w:t xml:space="preserve"> consommation d’énergie primaire de 50 kWh/m².an</w:t>
      </w:r>
      <w:r>
        <w:rPr>
          <w:rFonts w:asciiTheme="minorHAnsi" w:hAnsiTheme="minorHAnsi"/>
          <w:sz w:val="20"/>
          <w:szCs w:val="20"/>
        </w:rPr>
        <w:t>. E</w:t>
      </w:r>
      <w:r w:rsidR="00925384">
        <w:rPr>
          <w:rFonts w:asciiTheme="minorHAnsi" w:hAnsiTheme="minorHAnsi"/>
          <w:sz w:val="20"/>
          <w:szCs w:val="20"/>
        </w:rPr>
        <w:t>ntrée en vigueur progressivement depuis le 1</w:t>
      </w:r>
      <w:r w:rsidR="00925384" w:rsidRPr="00925384">
        <w:rPr>
          <w:rFonts w:asciiTheme="minorHAnsi" w:hAnsiTheme="minorHAnsi"/>
          <w:sz w:val="20"/>
          <w:szCs w:val="20"/>
          <w:vertAlign w:val="superscript"/>
        </w:rPr>
        <w:t>er</w:t>
      </w:r>
      <w:r w:rsidR="00925384">
        <w:rPr>
          <w:rFonts w:asciiTheme="minorHAnsi" w:hAnsiTheme="minorHAnsi"/>
          <w:sz w:val="20"/>
          <w:szCs w:val="20"/>
        </w:rPr>
        <w:t xml:space="preserve"> janvier 2022, </w:t>
      </w:r>
      <w:r w:rsidR="007358B6">
        <w:rPr>
          <w:rFonts w:asciiTheme="minorHAnsi" w:hAnsiTheme="minorHAnsi"/>
          <w:sz w:val="20"/>
          <w:szCs w:val="20"/>
        </w:rPr>
        <w:t>l</w:t>
      </w:r>
      <w:r w:rsidR="007358B6" w:rsidRPr="007358B6">
        <w:rPr>
          <w:rFonts w:asciiTheme="minorHAnsi" w:hAnsiTheme="minorHAnsi"/>
          <w:sz w:val="20"/>
          <w:szCs w:val="20"/>
        </w:rPr>
        <w:t xml:space="preserve">a </w:t>
      </w:r>
      <w:r w:rsidR="007358B6" w:rsidRPr="00925384">
        <w:rPr>
          <w:rFonts w:asciiTheme="minorHAnsi" w:hAnsiTheme="minorHAnsi"/>
          <w:b/>
          <w:bCs/>
          <w:sz w:val="20"/>
          <w:szCs w:val="20"/>
        </w:rPr>
        <w:t>RE 2020 est la nouvelle réglementation énergétique et environnementale de l’ensemble de la construction neuve</w:t>
      </w:r>
      <w:r w:rsidR="007358B6" w:rsidRPr="007358B6">
        <w:rPr>
          <w:rFonts w:asciiTheme="minorHAnsi" w:hAnsiTheme="minorHAnsi"/>
          <w:sz w:val="20"/>
          <w:szCs w:val="20"/>
        </w:rPr>
        <w:t>.</w:t>
      </w:r>
      <w:r w:rsidR="007358B6">
        <w:rPr>
          <w:rFonts w:asciiTheme="minorHAnsi" w:hAnsiTheme="minorHAnsi"/>
          <w:sz w:val="20"/>
          <w:szCs w:val="20"/>
        </w:rPr>
        <w:t xml:space="preserve"> </w:t>
      </w:r>
      <w:r w:rsidR="007358B6" w:rsidRPr="007358B6">
        <w:rPr>
          <w:rFonts w:asciiTheme="minorHAnsi" w:hAnsiTheme="minorHAnsi"/>
          <w:sz w:val="20"/>
          <w:szCs w:val="20"/>
        </w:rPr>
        <w:t xml:space="preserve">L’enjeu est de concevoir et construire les futurs </w:t>
      </w:r>
      <w:r w:rsidR="007358B6">
        <w:rPr>
          <w:rFonts w:asciiTheme="minorHAnsi" w:hAnsiTheme="minorHAnsi"/>
          <w:sz w:val="20"/>
          <w:szCs w:val="20"/>
        </w:rPr>
        <w:t>bâtiments</w:t>
      </w:r>
      <w:r w:rsidR="007358B6" w:rsidRPr="007358B6">
        <w:rPr>
          <w:rFonts w:asciiTheme="minorHAnsi" w:hAnsiTheme="minorHAnsi"/>
          <w:sz w:val="20"/>
          <w:szCs w:val="20"/>
        </w:rPr>
        <w:t xml:space="preserve"> en poursuivant trois objectifs majeurs</w:t>
      </w:r>
      <w:r w:rsidR="007358B6">
        <w:rPr>
          <w:rFonts w:asciiTheme="minorHAnsi" w:hAnsiTheme="minorHAnsi"/>
          <w:sz w:val="20"/>
          <w:szCs w:val="20"/>
        </w:rPr>
        <w:t xml:space="preserve"> </w:t>
      </w:r>
      <w:r w:rsidR="007358B6" w:rsidRPr="007358B6">
        <w:rPr>
          <w:rFonts w:asciiTheme="minorHAnsi" w:hAnsiTheme="minorHAnsi"/>
          <w:sz w:val="20"/>
          <w:szCs w:val="20"/>
        </w:rPr>
        <w:t xml:space="preserve">: </w:t>
      </w:r>
      <w:r w:rsidR="007358B6">
        <w:rPr>
          <w:rFonts w:asciiTheme="minorHAnsi" w:hAnsiTheme="minorHAnsi"/>
          <w:sz w:val="20"/>
          <w:szCs w:val="20"/>
        </w:rPr>
        <w:t>la</w:t>
      </w:r>
      <w:r w:rsidR="007358B6" w:rsidRPr="007358B6">
        <w:rPr>
          <w:rFonts w:asciiTheme="minorHAnsi" w:hAnsiTheme="minorHAnsi"/>
          <w:sz w:val="20"/>
          <w:szCs w:val="20"/>
        </w:rPr>
        <w:t xml:space="preserve"> sobriété énergétique et </w:t>
      </w:r>
      <w:r w:rsidR="007358B6">
        <w:rPr>
          <w:rFonts w:asciiTheme="minorHAnsi" w:hAnsiTheme="minorHAnsi"/>
          <w:sz w:val="20"/>
          <w:szCs w:val="20"/>
        </w:rPr>
        <w:t>la</w:t>
      </w:r>
      <w:r w:rsidR="007358B6" w:rsidRPr="007358B6">
        <w:rPr>
          <w:rFonts w:asciiTheme="minorHAnsi" w:hAnsiTheme="minorHAnsi"/>
          <w:sz w:val="20"/>
          <w:szCs w:val="20"/>
        </w:rPr>
        <w:t xml:space="preserve"> décarbonation de l’énergie ; </w:t>
      </w:r>
      <w:r w:rsidR="007358B6">
        <w:rPr>
          <w:rFonts w:asciiTheme="minorHAnsi" w:hAnsiTheme="minorHAnsi"/>
          <w:sz w:val="20"/>
          <w:szCs w:val="20"/>
        </w:rPr>
        <w:t>la</w:t>
      </w:r>
      <w:r w:rsidR="007358B6" w:rsidRPr="007358B6">
        <w:rPr>
          <w:rFonts w:asciiTheme="minorHAnsi" w:hAnsiTheme="minorHAnsi"/>
          <w:sz w:val="20"/>
          <w:szCs w:val="20"/>
        </w:rPr>
        <w:t xml:space="preserve"> diminution de l’impact carbone </w:t>
      </w:r>
      <w:r w:rsidR="00925384">
        <w:rPr>
          <w:rFonts w:asciiTheme="minorHAnsi" w:hAnsiTheme="minorHAnsi"/>
          <w:sz w:val="20"/>
          <w:szCs w:val="20"/>
        </w:rPr>
        <w:t xml:space="preserve">(introduction d’un indice Carbone) </w:t>
      </w:r>
      <w:r w:rsidR="007358B6" w:rsidRPr="007358B6">
        <w:rPr>
          <w:rFonts w:asciiTheme="minorHAnsi" w:hAnsiTheme="minorHAnsi"/>
          <w:sz w:val="20"/>
          <w:szCs w:val="20"/>
        </w:rPr>
        <w:t xml:space="preserve">; </w:t>
      </w:r>
      <w:r w:rsidR="00925384">
        <w:rPr>
          <w:rFonts w:asciiTheme="minorHAnsi" w:hAnsiTheme="minorHAnsi"/>
          <w:sz w:val="20"/>
          <w:szCs w:val="20"/>
        </w:rPr>
        <w:t xml:space="preserve">la </w:t>
      </w:r>
      <w:r w:rsidR="007358B6" w:rsidRPr="007358B6">
        <w:rPr>
          <w:rFonts w:asciiTheme="minorHAnsi" w:hAnsiTheme="minorHAnsi"/>
          <w:sz w:val="20"/>
          <w:szCs w:val="20"/>
        </w:rPr>
        <w:t>garantie de confort en cas de forte chaleur.</w:t>
      </w:r>
      <w:r w:rsidR="001A0417">
        <w:rPr>
          <w:rFonts w:asciiTheme="minorHAnsi" w:hAnsiTheme="minorHAnsi"/>
          <w:sz w:val="20"/>
          <w:szCs w:val="20"/>
        </w:rPr>
        <w:t xml:space="preserve"> </w:t>
      </w:r>
      <w:r w:rsidR="00925384" w:rsidRPr="00BC26B9">
        <w:rPr>
          <w:rFonts w:asciiTheme="minorHAnsi" w:eastAsia="Times New Roman" w:hAnsiTheme="minorHAnsi" w:cstheme="minorHAnsi"/>
          <w:iCs/>
          <w:sz w:val="20"/>
        </w:rPr>
        <w:t>Pour plus d'information : </w:t>
      </w:r>
      <w:hyperlink r:id="rId9" w:history="1">
        <w:r w:rsidR="00925384" w:rsidRPr="00925384">
          <w:rPr>
            <w:rStyle w:val="Lienhypertexte"/>
            <w:rFonts w:asciiTheme="minorHAnsi" w:hAnsiTheme="minorHAnsi"/>
            <w:sz w:val="20"/>
            <w:szCs w:val="20"/>
          </w:rPr>
          <w:t>guide_re2020_version_janvier_2024.pdf</w:t>
        </w:r>
      </w:hyperlink>
    </w:p>
    <w:p w14:paraId="141E0E80" w14:textId="3F7EA0E1" w:rsidR="00925384" w:rsidRDefault="001A0417" w:rsidP="001A0417">
      <w:pPr>
        <w:keepNext w:val="0"/>
        <w:widowControl/>
        <w:shd w:val="clear" w:color="auto" w:fill="auto"/>
        <w:suppressAutoHyphens w:val="0"/>
        <w:jc w:val="center"/>
        <w:textAlignment w:val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</w:t>
      </w:r>
    </w:p>
    <w:p w14:paraId="198C6B7B" w14:textId="77777777" w:rsidR="001C7208" w:rsidRPr="004D26E1" w:rsidRDefault="001C7208" w:rsidP="001C7208">
      <w:pPr>
        <w:shd w:val="clear" w:color="auto" w:fill="auto"/>
        <w:jc w:val="both"/>
        <w:rPr>
          <w:rFonts w:asciiTheme="minorHAnsi" w:eastAsia="Times New Roman" w:hAnsiTheme="minorHAnsi" w:cs="Georgia"/>
          <w:b/>
          <w:sz w:val="20"/>
          <w:szCs w:val="20"/>
          <w:lang w:bidi="ar-SA"/>
        </w:rPr>
      </w:pPr>
    </w:p>
    <w:p w14:paraId="3B041AB6" w14:textId="2196C289" w:rsidR="001C7208" w:rsidRPr="0077252B" w:rsidRDefault="001C7208" w:rsidP="001C7208">
      <w:pPr>
        <w:shd w:val="clear" w:color="auto" w:fill="auto"/>
        <w:jc w:val="both"/>
        <w:rPr>
          <w:rFonts w:asciiTheme="minorHAnsi" w:hAnsiTheme="minorHAnsi"/>
          <w:strike/>
          <w:sz w:val="20"/>
          <w:szCs w:val="20"/>
        </w:rPr>
      </w:pPr>
      <w:r w:rsidRPr="004D26E1">
        <w:rPr>
          <w:rFonts w:asciiTheme="minorHAnsi" w:eastAsia="Times New Roman" w:hAnsiTheme="minorHAnsi" w:cs="Georgia"/>
          <w:b/>
          <w:sz w:val="20"/>
          <w:szCs w:val="20"/>
          <w:lang w:bidi="ar-SA"/>
        </w:rPr>
        <w:t>En Bretagne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>, la diminution des consommations d'énergie et des gaz à effet de serre est un enjeu essentiel. Le bâtimen</w:t>
      </w:r>
      <w:r w:rsidRPr="004D26E1">
        <w:rPr>
          <w:rFonts w:asciiTheme="minorHAnsi" w:hAnsiTheme="minorHAnsi"/>
          <w:sz w:val="20"/>
          <w:szCs w:val="20"/>
        </w:rPr>
        <w:t xml:space="preserve">t est le poste de consommation d’énergie le plus important, avec 45% des consommations d’énergie finale. </w:t>
      </w:r>
    </w:p>
    <w:p w14:paraId="27818778" w14:textId="3F1DB79E" w:rsidR="001C7208" w:rsidRPr="001A0417" w:rsidRDefault="001C7208" w:rsidP="001C7208">
      <w:pPr>
        <w:shd w:val="clear" w:color="auto" w:fill="auto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</w:p>
    <w:p w14:paraId="2F36C7C8" w14:textId="38114296" w:rsidR="001C7208" w:rsidRPr="004D26E1" w:rsidRDefault="001C7208" w:rsidP="001C7208">
      <w:pPr>
        <w:shd w:val="clear" w:color="auto" w:fill="auto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>Le Conseil régional, l'ADEME et l'Etat contribuent à la mutation de la filière bâtiment vers une économie bas carbone et la réalisation de bâtiments et d'équipements</w:t>
      </w:r>
      <w:r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plus sains et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respectueux de l'environnement</w:t>
      </w:r>
      <w:r>
        <w:rPr>
          <w:rFonts w:asciiTheme="minorHAnsi" w:eastAsia="Times New Roman" w:hAnsiTheme="minorHAnsi" w:cs="Georgia"/>
          <w:sz w:val="20"/>
          <w:szCs w:val="20"/>
          <w:lang w:bidi="ar-SA"/>
        </w:rPr>
        <w:t>, et producteurs d’énergie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. Cela passe à la fois par : </w:t>
      </w:r>
    </w:p>
    <w:p w14:paraId="639B1E8B" w14:textId="6AE18975" w:rsidR="001C7208" w:rsidRPr="009E1339" w:rsidRDefault="001C7208" w:rsidP="001C7208">
      <w:pPr>
        <w:pStyle w:val="Paragraphedeliste"/>
        <w:numPr>
          <w:ilvl w:val="0"/>
          <w:numId w:val="2"/>
        </w:numPr>
        <w:shd w:val="clear" w:color="auto" w:fill="auto"/>
        <w:spacing w:before="60"/>
        <w:ind w:left="340" w:hanging="170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La recherche de solutions pour le </w:t>
      </w:r>
      <w:r w:rsidRPr="004D26E1">
        <w:rPr>
          <w:rFonts w:asciiTheme="minorHAnsi" w:eastAsia="Times New Roman" w:hAnsiTheme="minorHAnsi" w:cs="Georgia"/>
          <w:b/>
          <w:sz w:val="20"/>
          <w:szCs w:val="20"/>
          <w:lang w:bidi="ar-SA"/>
        </w:rPr>
        <w:t>développement de la massification de la rénovation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(sensibilisation, techniques de mises en œuvre, formation, </w:t>
      </w:r>
      <w:proofErr w:type="gramStart"/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>outils financier</w:t>
      </w:r>
      <w:proofErr w:type="gramEnd"/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, ...) : le soutien à l’ingénierie locale en constitue l’élément principal </w:t>
      </w:r>
      <w:r w:rsidRPr="009E1339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(réseaux </w:t>
      </w:r>
      <w:proofErr w:type="spellStart"/>
      <w:r w:rsidRPr="009E1339">
        <w:rPr>
          <w:rFonts w:asciiTheme="minorHAnsi" w:eastAsia="Times New Roman" w:hAnsiTheme="minorHAnsi" w:cs="Georgia"/>
          <w:sz w:val="20"/>
          <w:szCs w:val="20"/>
          <w:lang w:bidi="ar-SA"/>
        </w:rPr>
        <w:t>Rénov’Habitat</w:t>
      </w:r>
      <w:proofErr w:type="spellEnd"/>
      <w:r w:rsidRPr="009E1339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Bretagne, C</w:t>
      </w:r>
      <w:r>
        <w:rPr>
          <w:rFonts w:asciiTheme="minorHAnsi" w:eastAsia="Times New Roman" w:hAnsiTheme="minorHAnsi" w:cs="Georgia"/>
          <w:sz w:val="20"/>
          <w:szCs w:val="20"/>
          <w:lang w:bidi="ar-SA"/>
        </w:rPr>
        <w:t>onseillers en énergie partagés</w:t>
      </w:r>
      <w:r w:rsidRPr="009E1339">
        <w:rPr>
          <w:rFonts w:asciiTheme="minorHAnsi" w:eastAsia="Times New Roman" w:hAnsiTheme="minorHAnsi" w:cs="Georgia"/>
          <w:sz w:val="20"/>
          <w:szCs w:val="20"/>
          <w:lang w:bidi="ar-SA"/>
        </w:rPr>
        <w:t>…) ;</w:t>
      </w:r>
    </w:p>
    <w:p w14:paraId="50EFA0FF" w14:textId="0711C1A5" w:rsidR="001C7208" w:rsidRPr="004D26E1" w:rsidRDefault="001C7208" w:rsidP="001C7208">
      <w:pPr>
        <w:pStyle w:val="Paragraphedeliste"/>
        <w:numPr>
          <w:ilvl w:val="0"/>
          <w:numId w:val="2"/>
        </w:numPr>
        <w:shd w:val="clear" w:color="auto" w:fill="auto"/>
        <w:spacing w:before="60"/>
        <w:ind w:left="340" w:hanging="170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Mais aussi par le </w:t>
      </w:r>
      <w:r w:rsidRPr="004D26E1">
        <w:rPr>
          <w:rFonts w:asciiTheme="minorHAnsi" w:eastAsia="Times New Roman" w:hAnsiTheme="minorHAnsi" w:cs="Georgia"/>
          <w:b/>
          <w:sz w:val="20"/>
          <w:szCs w:val="20"/>
          <w:lang w:bidi="ar-SA"/>
        </w:rPr>
        <w:t>soutien aux initiatives locales permettant d’expérimenter et de tester de nouvelles solutions</w:t>
      </w:r>
      <w:r w:rsidRPr="004D26E1">
        <w:rPr>
          <w:rFonts w:asciiTheme="minorHAnsi" w:eastAsia="Times New Roman" w:hAnsiTheme="minorHAnsi" w:cs="Georgia"/>
          <w:sz w:val="20"/>
          <w:szCs w:val="20"/>
          <w:lang w:bidi="ar-SA"/>
        </w:rPr>
        <w:t xml:space="preserve"> répondant à la fois aux enjeux énergétiques et environnementaux.</w:t>
      </w:r>
    </w:p>
    <w:p w14:paraId="14004310" w14:textId="62CFF816" w:rsidR="001C7208" w:rsidRPr="001A0417" w:rsidRDefault="001C7208" w:rsidP="001C7208">
      <w:pPr>
        <w:shd w:val="clear" w:color="auto" w:fill="auto"/>
        <w:jc w:val="both"/>
        <w:rPr>
          <w:rFonts w:asciiTheme="minorHAnsi" w:eastAsia="Times New Roman" w:hAnsiTheme="minorHAnsi" w:cs="Georgia"/>
          <w:sz w:val="20"/>
          <w:szCs w:val="20"/>
          <w:lang w:bidi="ar-SA"/>
        </w:rPr>
      </w:pPr>
    </w:p>
    <w:p w14:paraId="0F01438D" w14:textId="1D1DAE78" w:rsidR="007E034F" w:rsidRPr="001A0417" w:rsidRDefault="001C7208" w:rsidP="001A0417">
      <w:pPr>
        <w:shd w:val="clear" w:color="auto" w:fill="auto"/>
        <w:tabs>
          <w:tab w:val="left" w:pos="2268"/>
          <w:tab w:val="left" w:pos="6237"/>
        </w:tabs>
        <w:jc w:val="both"/>
        <w:rPr>
          <w:rFonts w:asciiTheme="minorHAnsi" w:hAnsiTheme="minorHAnsi" w:cs="Arial"/>
          <w:sz w:val="20"/>
          <w:szCs w:val="20"/>
        </w:rPr>
      </w:pPr>
      <w:r w:rsidRPr="004D26E1">
        <w:rPr>
          <w:rFonts w:asciiTheme="minorHAnsi" w:hAnsiTheme="minorHAnsi" w:cs="Arial"/>
          <w:sz w:val="20"/>
          <w:szCs w:val="20"/>
        </w:rPr>
        <w:t xml:space="preserve">Ainsi, à travers le présent </w:t>
      </w:r>
      <w:r>
        <w:rPr>
          <w:rFonts w:asciiTheme="minorHAnsi" w:hAnsiTheme="minorHAnsi" w:cs="Arial"/>
          <w:sz w:val="20"/>
          <w:szCs w:val="20"/>
        </w:rPr>
        <w:t>a</w:t>
      </w:r>
      <w:r w:rsidRPr="004D26E1">
        <w:rPr>
          <w:rFonts w:asciiTheme="minorHAnsi" w:hAnsiTheme="minorHAnsi" w:cs="Arial"/>
          <w:sz w:val="20"/>
          <w:szCs w:val="20"/>
        </w:rPr>
        <w:t xml:space="preserve">ppel à projets, les partenaires régionaux souhaitent </w:t>
      </w:r>
      <w:r w:rsidRPr="004D26E1">
        <w:rPr>
          <w:rFonts w:asciiTheme="minorHAnsi" w:hAnsiTheme="minorHAnsi" w:cs="Arial"/>
          <w:b/>
          <w:sz w:val="20"/>
          <w:szCs w:val="20"/>
        </w:rPr>
        <w:t xml:space="preserve">soutenir la réalisation d'opérations </w:t>
      </w:r>
      <w:r>
        <w:rPr>
          <w:rFonts w:asciiTheme="minorHAnsi" w:hAnsiTheme="minorHAnsi" w:cs="Arial"/>
          <w:b/>
          <w:sz w:val="20"/>
          <w:szCs w:val="20"/>
        </w:rPr>
        <w:t xml:space="preserve">de rénovation </w:t>
      </w:r>
      <w:r w:rsidRPr="004D26E1">
        <w:rPr>
          <w:rFonts w:asciiTheme="minorHAnsi" w:hAnsiTheme="minorHAnsi" w:cs="Arial"/>
          <w:b/>
          <w:sz w:val="20"/>
          <w:szCs w:val="20"/>
        </w:rPr>
        <w:t>qui visent à favoriser l’exemplarité et l’innovation</w:t>
      </w:r>
      <w:r>
        <w:rPr>
          <w:rFonts w:asciiTheme="minorHAnsi" w:hAnsiTheme="minorHAnsi" w:cs="Arial"/>
          <w:sz w:val="20"/>
          <w:szCs w:val="20"/>
        </w:rPr>
        <w:t>.</w:t>
      </w:r>
      <w:r w:rsidR="001A0417" w:rsidRPr="001A0417">
        <w:rPr>
          <w:noProof/>
        </w:rPr>
        <w:t xml:space="preserve"> </w:t>
      </w:r>
    </w:p>
    <w:sectPr w:rsidR="007E034F" w:rsidRPr="001A0417" w:rsidSect="001A0417">
      <w:footerReference w:type="default" r:id="rId10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871C3" w14:textId="77777777" w:rsidR="001A0417" w:rsidRDefault="001A0417" w:rsidP="001A0417">
      <w:r>
        <w:separator/>
      </w:r>
    </w:p>
  </w:endnote>
  <w:endnote w:type="continuationSeparator" w:id="0">
    <w:p w14:paraId="3699BDED" w14:textId="77777777" w:rsidR="001A0417" w:rsidRDefault="001A0417" w:rsidP="001A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FEEE" w14:textId="5954A810" w:rsidR="001A0417" w:rsidRDefault="001A0417" w:rsidP="001A041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E3CE9" w14:textId="77777777" w:rsidR="001A0417" w:rsidRDefault="001A0417" w:rsidP="001A0417">
      <w:r>
        <w:separator/>
      </w:r>
    </w:p>
  </w:footnote>
  <w:footnote w:type="continuationSeparator" w:id="0">
    <w:p w14:paraId="7F003396" w14:textId="77777777" w:rsidR="001A0417" w:rsidRDefault="001A0417" w:rsidP="001A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6881"/>
    <w:multiLevelType w:val="hybridMultilevel"/>
    <w:tmpl w:val="E0326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1692"/>
    <w:multiLevelType w:val="hybridMultilevel"/>
    <w:tmpl w:val="269227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56735">
    <w:abstractNumId w:val="0"/>
  </w:num>
  <w:num w:numId="2" w16cid:durableId="1966351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7B"/>
    <w:rsid w:val="001A0417"/>
    <w:rsid w:val="001C7208"/>
    <w:rsid w:val="00360D85"/>
    <w:rsid w:val="007358B6"/>
    <w:rsid w:val="007E034F"/>
    <w:rsid w:val="00925384"/>
    <w:rsid w:val="00963007"/>
    <w:rsid w:val="00BA0C7B"/>
    <w:rsid w:val="00D378EF"/>
    <w:rsid w:val="00EA2419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3EC0"/>
  <w15:chartTrackingRefBased/>
  <w15:docId w15:val="{3492E11D-BF70-471E-80ED-400566A2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C7B"/>
    <w:pPr>
      <w:keepNext/>
      <w:widowControl w:val="0"/>
      <w:shd w:val="clear" w:color="auto" w:fill="FFFFFF"/>
      <w:suppressAutoHyphens/>
      <w:spacing w:after="0" w:line="240" w:lineRule="auto"/>
      <w:textAlignment w:val="baseline"/>
    </w:pPr>
    <w:rPr>
      <w:rFonts w:ascii="Arial" w:eastAsia="SimSun" w:hAnsi="Arial" w:cs="Mangal"/>
      <w:sz w:val="21"/>
      <w:szCs w:val="24"/>
      <w:lang w:eastAsia="zh-CN" w:bidi="hi-I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ettre d'introduction,Normal bullet 2,Paragraphe de liste2,Liste à puce - SC,Paragraphe de liste num,Paragraphe de liste 1,normal,Listes,Paragraphe de liste11,Normal avec puces tirets,Paragraphe 2"/>
    <w:basedOn w:val="Normal"/>
    <w:link w:val="ParagraphedelisteCar"/>
    <w:uiPriority w:val="34"/>
    <w:qFormat/>
    <w:rsid w:val="00BA0C7B"/>
    <w:pPr>
      <w:ind w:left="720"/>
    </w:pPr>
    <w:rPr>
      <w:rFonts w:ascii="Georgia" w:hAnsi="Georgia"/>
    </w:rPr>
  </w:style>
  <w:style w:type="character" w:customStyle="1" w:styleId="ParagraphedelisteCar">
    <w:name w:val="Paragraphe de liste Car"/>
    <w:aliases w:val="Lettre d'introduction Car,Normal bullet 2 Car,Paragraphe de liste2 Car,Liste à puce - SC Car,Paragraphe de liste num Car,Paragraphe de liste 1 Car,normal Car,Listes Car,Paragraphe de liste11 Car,Normal avec puces tirets Car"/>
    <w:link w:val="Paragraphedeliste"/>
    <w:uiPriority w:val="34"/>
    <w:qFormat/>
    <w:locked/>
    <w:rsid w:val="00BA0C7B"/>
    <w:rPr>
      <w:rFonts w:ascii="Georgia" w:eastAsia="SimSun" w:hAnsi="Georgia" w:cs="Mangal"/>
      <w:sz w:val="21"/>
      <w:szCs w:val="24"/>
      <w:shd w:val="clear" w:color="auto" w:fill="FFFFFF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EA241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538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1A04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0417"/>
    <w:rPr>
      <w:rFonts w:ascii="Arial" w:eastAsia="SimSun" w:hAnsi="Arial" w:cs="Mangal"/>
      <w:sz w:val="21"/>
      <w:szCs w:val="24"/>
      <w:shd w:val="clear" w:color="auto" w:fill="FFFFFF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1A04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0417"/>
    <w:rPr>
      <w:rFonts w:ascii="Arial" w:eastAsia="SimSun" w:hAnsi="Arial" w:cs="Mangal"/>
      <w:sz w:val="21"/>
      <w:szCs w:val="24"/>
      <w:shd w:val="clear" w:color="auto" w:fill="FFFFFF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logie.gouv.fr/eco-energie-tertiaire-e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cologie.gouv.fr/sites/default/files/documents/guide_re2020_version_janvier_202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DUSSUT</dc:creator>
  <cp:keywords/>
  <dc:description/>
  <cp:lastModifiedBy>DAMIEN DUSSUT</cp:lastModifiedBy>
  <cp:revision>5</cp:revision>
  <dcterms:created xsi:type="dcterms:W3CDTF">2024-01-12T09:27:00Z</dcterms:created>
  <dcterms:modified xsi:type="dcterms:W3CDTF">2025-01-31T15:56:00Z</dcterms:modified>
</cp:coreProperties>
</file>